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63397B">
      <w:pPr>
        <w:pStyle w:val="Title"/>
        <w:jc w:val="left"/>
      </w:pPr>
      <w:r>
        <w:t>Lesson Date:</w:t>
      </w:r>
      <w:r>
        <w:tab/>
      </w:r>
      <w:r w:rsidR="00AE3C79">
        <w:t>5</w:t>
      </w:r>
      <w:r w:rsidR="00E85BB3">
        <w:t>/</w:t>
      </w:r>
      <w:r w:rsidR="009618AD">
        <w:t>14/18 - 5/18</w:t>
      </w:r>
      <w:bookmarkStart w:id="1" w:name="_GoBack"/>
      <w:bookmarkEnd w:id="1"/>
      <w:r w:rsidR="00452914">
        <w:t>/18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30CAA">
        <w:trPr>
          <w:trHeight w:val="5822"/>
        </w:trPr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Pr="00E30CAA" w:rsidRDefault="006534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2" w:name="_30j0zll" w:colFirst="0" w:colLast="0"/>
            <w:bookmarkEnd w:id="2"/>
            <w:r w:rsidRPr="00E30C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FD1923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0456AF" w:rsidRDefault="000456AF" w:rsidP="00FD19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3" w:name="_1fob9te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  <w:r w:rsidR="005738E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CD2B57" w:rsidRDefault="00CD2B57" w:rsidP="00DA17E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E03282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 w:rsidP="00DA17E5"/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2A29A2">
            <w:r>
              <w:t>Daily Writing Journal</w:t>
            </w:r>
          </w:p>
        </w:tc>
        <w:tc>
          <w:tcPr>
            <w:tcW w:w="2160" w:type="dxa"/>
          </w:tcPr>
          <w:p w:rsidR="006534D7" w:rsidRDefault="002A29A2">
            <w:r>
              <w:t>Daily Writing Journal</w:t>
            </w:r>
          </w:p>
        </w:tc>
        <w:tc>
          <w:tcPr>
            <w:tcW w:w="2475" w:type="dxa"/>
          </w:tcPr>
          <w:p w:rsidR="006534D7" w:rsidRDefault="002A29A2" w:rsidP="00E30CAA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 w:rsidTr="005D68FD">
        <w:trPr>
          <w:trHeight w:val="98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0456AF" w:rsidRDefault="00E85BB3" w:rsidP="00AE3C79">
            <w:r>
              <w:t>-</w:t>
            </w:r>
            <w:r w:rsidR="009618AD">
              <w:t>Interwar and World War 2 Jeopardy</w:t>
            </w:r>
          </w:p>
          <w:p w:rsidR="00AE3C79" w:rsidRDefault="00AE3C79" w:rsidP="00AE3C79"/>
        </w:tc>
        <w:tc>
          <w:tcPr>
            <w:tcW w:w="2160" w:type="dxa"/>
          </w:tcPr>
          <w:p w:rsidR="00E85BB3" w:rsidRDefault="00AE3C79" w:rsidP="009618AD">
            <w:r>
              <w:t>-</w:t>
            </w:r>
            <w:r w:rsidR="009618AD">
              <w:t>Interwar and World War 2 Test</w:t>
            </w:r>
          </w:p>
        </w:tc>
        <w:tc>
          <w:tcPr>
            <w:tcW w:w="2475" w:type="dxa"/>
          </w:tcPr>
          <w:p w:rsidR="00047FDE" w:rsidRDefault="009618AD" w:rsidP="00AE3C79">
            <w:r>
              <w:t>No School</w:t>
            </w:r>
          </w:p>
        </w:tc>
        <w:tc>
          <w:tcPr>
            <w:tcW w:w="2370" w:type="dxa"/>
          </w:tcPr>
          <w:p w:rsidR="002A29A2" w:rsidRDefault="00AE3C79" w:rsidP="009618AD">
            <w:pPr>
              <w:pStyle w:val="ListParagraph"/>
              <w:ind w:left="0"/>
            </w:pPr>
            <w:r>
              <w:t>-</w:t>
            </w:r>
            <w:r w:rsidR="009618AD">
              <w:t>Cold War Vocabulary</w:t>
            </w:r>
          </w:p>
          <w:p w:rsidR="009618AD" w:rsidRDefault="009618AD" w:rsidP="009618AD">
            <w:pPr>
              <w:pStyle w:val="ListParagraph"/>
              <w:ind w:left="0"/>
            </w:pPr>
          </w:p>
          <w:p w:rsidR="009618AD" w:rsidRDefault="009618AD" w:rsidP="009618AD">
            <w:pPr>
              <w:pStyle w:val="ListParagraph"/>
              <w:ind w:left="0"/>
            </w:pPr>
            <w:r>
              <w:t>-Cold War PowerPoint</w:t>
            </w:r>
          </w:p>
        </w:tc>
        <w:tc>
          <w:tcPr>
            <w:tcW w:w="2145" w:type="dxa"/>
          </w:tcPr>
          <w:p w:rsidR="00C279AE" w:rsidRDefault="00E85BB3" w:rsidP="009618AD">
            <w:r>
              <w:t>-</w:t>
            </w:r>
            <w:r w:rsidR="009618AD">
              <w:t>Cold War PowerPoint</w:t>
            </w:r>
          </w:p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721DBE" w:rsidRDefault="00721DBE" w:rsidP="00AE3C79"/>
        </w:tc>
        <w:tc>
          <w:tcPr>
            <w:tcW w:w="2160" w:type="dxa"/>
          </w:tcPr>
          <w:p w:rsidR="00FD1923" w:rsidRDefault="00FD1923" w:rsidP="00D5720D"/>
        </w:tc>
        <w:tc>
          <w:tcPr>
            <w:tcW w:w="2475" w:type="dxa"/>
          </w:tcPr>
          <w:p w:rsidR="00D40BC6" w:rsidRDefault="00D40BC6" w:rsidP="000500BF"/>
        </w:tc>
        <w:tc>
          <w:tcPr>
            <w:tcW w:w="2370" w:type="dxa"/>
          </w:tcPr>
          <w:p w:rsidR="00755C68" w:rsidRDefault="00755C68" w:rsidP="00AE3C79">
            <w:pPr>
              <w:pStyle w:val="ListParagraph"/>
              <w:ind w:left="0"/>
            </w:pPr>
          </w:p>
        </w:tc>
        <w:tc>
          <w:tcPr>
            <w:tcW w:w="2145" w:type="dxa"/>
          </w:tcPr>
          <w:p w:rsidR="00ED18A1" w:rsidRDefault="00ED18A1" w:rsidP="00ED7A66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4A4AEF" w:rsidRDefault="00A3331E" w:rsidP="00D40BC6">
            <w:r>
              <w:t>Question and Answer</w:t>
            </w:r>
          </w:p>
        </w:tc>
        <w:tc>
          <w:tcPr>
            <w:tcW w:w="2160" w:type="dxa"/>
          </w:tcPr>
          <w:p w:rsidR="00326AA7" w:rsidRDefault="00A3331E" w:rsidP="00F50E58">
            <w:r>
              <w:t>Question and Answer</w:t>
            </w:r>
          </w:p>
        </w:tc>
        <w:tc>
          <w:tcPr>
            <w:tcW w:w="2475" w:type="dxa"/>
          </w:tcPr>
          <w:p w:rsidR="00F50E58" w:rsidRDefault="00A3331E" w:rsidP="005D68FD">
            <w:r>
              <w:t>Question and Answer</w:t>
            </w:r>
          </w:p>
        </w:tc>
        <w:tc>
          <w:tcPr>
            <w:tcW w:w="2370" w:type="dxa"/>
          </w:tcPr>
          <w:p w:rsidR="00CD2D02" w:rsidRDefault="000E2B95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16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475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8B0C4D" w:rsidRDefault="008B0C4D">
            <w:r>
              <w:t>Quote of the day</w:t>
            </w:r>
          </w:p>
        </w:tc>
        <w:tc>
          <w:tcPr>
            <w:tcW w:w="2145" w:type="dxa"/>
          </w:tcPr>
          <w:p w:rsidR="006534D7" w:rsidRDefault="008B0C4D">
            <w:r>
              <w:t>Summarize the day’s learning</w:t>
            </w:r>
          </w:p>
          <w:p w:rsidR="008B0C4D" w:rsidRDefault="008B0C4D"/>
          <w:p w:rsidR="008B0C4D" w:rsidRDefault="008B0C4D">
            <w:r>
              <w:t>Quote of the day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0A4"/>
    <w:multiLevelType w:val="multilevel"/>
    <w:tmpl w:val="81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06FD"/>
    <w:multiLevelType w:val="hybridMultilevel"/>
    <w:tmpl w:val="2C401BA2"/>
    <w:lvl w:ilvl="0" w:tplc="8F10D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36C2"/>
    <w:multiLevelType w:val="hybridMultilevel"/>
    <w:tmpl w:val="D88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3E91"/>
    <w:multiLevelType w:val="multilevel"/>
    <w:tmpl w:val="FFA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37883"/>
    <w:multiLevelType w:val="hybridMultilevel"/>
    <w:tmpl w:val="F5E8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803948"/>
    <w:multiLevelType w:val="hybridMultilevel"/>
    <w:tmpl w:val="885E023C"/>
    <w:lvl w:ilvl="0" w:tplc="D8B8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5163E"/>
    <w:multiLevelType w:val="hybridMultilevel"/>
    <w:tmpl w:val="40520942"/>
    <w:lvl w:ilvl="0" w:tplc="1F52D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77403"/>
    <w:multiLevelType w:val="multilevel"/>
    <w:tmpl w:val="CC1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7"/>
    <w:rsid w:val="000456AF"/>
    <w:rsid w:val="00047FDE"/>
    <w:rsid w:val="000500BF"/>
    <w:rsid w:val="000A6CD7"/>
    <w:rsid w:val="000E2B95"/>
    <w:rsid w:val="00142F1F"/>
    <w:rsid w:val="002A29A2"/>
    <w:rsid w:val="003160E2"/>
    <w:rsid w:val="00326AA7"/>
    <w:rsid w:val="004113FF"/>
    <w:rsid w:val="00452914"/>
    <w:rsid w:val="0047278B"/>
    <w:rsid w:val="004A4AEF"/>
    <w:rsid w:val="004F616E"/>
    <w:rsid w:val="005177F8"/>
    <w:rsid w:val="005357E5"/>
    <w:rsid w:val="005738E8"/>
    <w:rsid w:val="005D68FD"/>
    <w:rsid w:val="0063397B"/>
    <w:rsid w:val="006534D7"/>
    <w:rsid w:val="006C3502"/>
    <w:rsid w:val="00700DA3"/>
    <w:rsid w:val="0071658E"/>
    <w:rsid w:val="00721DBE"/>
    <w:rsid w:val="00755C68"/>
    <w:rsid w:val="00826AB2"/>
    <w:rsid w:val="00897C85"/>
    <w:rsid w:val="008B0C4D"/>
    <w:rsid w:val="008B7E7A"/>
    <w:rsid w:val="008C6519"/>
    <w:rsid w:val="009206CF"/>
    <w:rsid w:val="009424C1"/>
    <w:rsid w:val="009618AD"/>
    <w:rsid w:val="00A01E18"/>
    <w:rsid w:val="00A3331E"/>
    <w:rsid w:val="00AE3C79"/>
    <w:rsid w:val="00B078E9"/>
    <w:rsid w:val="00B10EC0"/>
    <w:rsid w:val="00B5376B"/>
    <w:rsid w:val="00B67C01"/>
    <w:rsid w:val="00BA33C7"/>
    <w:rsid w:val="00BA62E5"/>
    <w:rsid w:val="00BE3B3F"/>
    <w:rsid w:val="00C279AE"/>
    <w:rsid w:val="00C32DD0"/>
    <w:rsid w:val="00C947A0"/>
    <w:rsid w:val="00CB2634"/>
    <w:rsid w:val="00CD2B57"/>
    <w:rsid w:val="00CD2D02"/>
    <w:rsid w:val="00D40BC6"/>
    <w:rsid w:val="00D5720D"/>
    <w:rsid w:val="00DA17E5"/>
    <w:rsid w:val="00DA2141"/>
    <w:rsid w:val="00DD1E1A"/>
    <w:rsid w:val="00DD5A74"/>
    <w:rsid w:val="00E03282"/>
    <w:rsid w:val="00E30CAA"/>
    <w:rsid w:val="00E43943"/>
    <w:rsid w:val="00E55BEA"/>
    <w:rsid w:val="00E602E5"/>
    <w:rsid w:val="00E85BB3"/>
    <w:rsid w:val="00ED18A1"/>
    <w:rsid w:val="00ED7A66"/>
    <w:rsid w:val="00F12402"/>
    <w:rsid w:val="00F33B77"/>
    <w:rsid w:val="00F408DF"/>
    <w:rsid w:val="00F50E58"/>
    <w:rsid w:val="00F74766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2018-05-12T22:13:00Z</dcterms:created>
  <dcterms:modified xsi:type="dcterms:W3CDTF">2018-05-12T22:13:00Z</dcterms:modified>
</cp:coreProperties>
</file>